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32" w:rsidRPr="00C64B32" w:rsidRDefault="00C64B32" w:rsidP="00C64B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Kelias į amžiną gyvenimą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Nuolat kartojama Šventojo Rašto žinia – kad mūsų kelias į amžinąjį gyvenimą eina per Kristaus darbą.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Paklūstantieji Dievo valiai praleis amžinybę tobulybės šalyje –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atpildas už dorumą.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Šis buvimas nemirtingu, kuris minimas Biblijoje, reiškia, kad Biblija neparemia amžino kentėjimo.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Sąlyginis nemirtingumas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Nemirtingumas yra sąlyginis ir jis nėra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ką mes paprastai turime kaip tai įrodo šios eilutės: 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„Kristus... nušvietė gyvenimą bei nemirtingumą savo Evangelija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2 Tim 1:10; 1 Jn 1:2).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„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jei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nevalgysite Žmogaus Sūnaus kūno ir negersite jo kraujo, neturėsite savyje gyvybės! Kas valgo mano kūną...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tas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turi amžinąjį gyvenimą, ir aš jį prikelsiu paskutiniąją dieną. (Jn 6:53-54). Kristaus samprotavimas, išreikštas Jn 6, yra tas, kad jis yra „gyvenimo duona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ir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, kad amžinybė pasiekiama per teisingą santykį su juo. (Jn 6:47, 50, 51, 57, 58).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„Dievas mums suteikė amžinąjį gyvenimą, ir tas gyvenimas yra jo Sūnuje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Jn 5:11).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Nebelieka amžino gyvenimo vilties tiems, kurie nėra „Kristuje“.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Amžinybė įmanoma tik per Kristų; jis yra „amžinojo gyvenimo priežastis visiems, kurie jo klauso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Žyd 5:9).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Štai, kodėl amžinasis gyvenimas žmonėms yra įmanomas per Kristaus darbą.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Tikras tikintysis siekia amžinojo gyvenimo ir bus apdovanotas šia dovana – tuo,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ko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natūraliai neįmanoma pasiekti (Rom 2:7; 6:23; Jn 10:28). Mūsų mirktingas kūnas „turi apsivilkti nemarybe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Kristui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sugrįžus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 Kor 15:53); todėl amžinybė yra pažadėta, o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dabar turima (1 Jn 2:25).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Tik vienas Dievas yra Nemirtingas per amžius (1 Tim 6:16).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Kas yra siela?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Prieš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aprašytų dalykų eigoje gali būti nesuprantama, kad žmogaus „siela – nemirtinga“. Žydų kalbos žodis „Nephesh“ ir graikų kalbos žodis „Psuche“, Biblijoje yra taip pat verčiamas kaip ir </w:t>
      </w:r>
      <w:r w:rsidRPr="00C64B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kūnas, įkvėpimas, kūryba, širdis, mintis, asmuo, pats.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Todėl „siela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yra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siejama su kūnu ir asmeniu.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Žmogus &amp; gyvulys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Mūsų prigimtyje ir mirtyje nėra skirtumo tarp žmonių ir gyvulių.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”Juk likimas žmonių ir likimas gyvulių yra toks pat. </w:t>
      </w:r>
      <w:proofErr w:type="gramStart"/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Ir vieni, ir kiti miršta, 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nes jie turi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tą patį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gyvybės alsavimą.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Žmogus neviršija gyvulio... Abu (ir žmogus, ir gyvulys) eina į tą pačią vietą, abu yra iš dulkių ir į dulkes jiedu abu sugrįžta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Koh 3:19, 20) 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Sielos mirtis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Labai svarbus yra faktas, kad visa „gyvoji kūrinija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ilgainiui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numiršta.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Maždaug trečdalis žodžių, kurie yra verčiami kaip „siela“, yra siejami su sielos mirtimi ir išnykimu.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 parodo, kad siela negali būti kažkas nemirtingo.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Pavyzdžiui: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„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Siela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kuri nusideda,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mirs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” (Ez 18:4).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Dievas gali sunaikinti sielą.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„Bijokite to, kuris gali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pražudyti 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ir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sielą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, ir kūną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Mt 10:28. Taip pat Ez 22:27; Išm 6:32; Kun 23:30).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Dažnai Šventasis Raštas nurodo, kad bet kuri „siela“, kuri nepaklus vieniems ar kitiems įstatymams, bus pražudyta (pvz.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Sk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15:27-31).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Kristus „save atidavė mirčiai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Iz 53:12) tokiu būdu, kad jo „siela“ arba gyvenimas buvo atiduoti „kaip auka už nuodėmę“ (Iz 53:10).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Tai, kad „siela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yra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labiau susijusi su žmogaus kūnu nei kokia nors nemirtinga kibirkštis, esanti mumyse, nurodoma daugelyje Biblijos ištraukų. Štai keletas pavyzdžių: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„Sielų kraujas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Jer 2:34).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„Jei žmogus nusideda... jei paliečia ką nors nešvaraus... ištaria lūpomis priesaiką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Kun 5:1-4. Taip pat Ps 103:1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,2,5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„Kas nori išgelbėti savo gyvybę (sielą), tas ją praras; o kas pražudys savo gyvybę (sielą) dėl manęs..., tas ją išgelbės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Mk 8:35).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 įrodo, kad siela nėra susijusi su kokiu nors dvasiniu elementu, esančiu mūsų viduje; čia „siela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reiškia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tiesiog fizinį žmogaus gyvenimą.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Žmogaus dvasia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Hebrajų kalbos žodis „Ruach“ ir graikų „Pneuma“, reiškiantys „dvasią“, dar yra verčiami kaip </w:t>
      </w:r>
      <w:r w:rsidRPr="00C64B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gyvenimas, dvasia, mintis, vėjas, kvėpavimas.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Dievas naudoja Savo dvasią, kad apsaugotų natūralią kūriniją.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Dievo dvasia žmogaus viduje yra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jo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gyvenimo galia, kaip parodoma šiose ištraukose: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„Kūnas be dvasios miręs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Jok 2:26)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Dievas „įkvėpė jam (Adomui) į nosį gyvybės alsavimą. Taip žmogus tapo gyva būtybė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Pr 2:7)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Gyvybės dvasia yra duodama mums nuo gimimo ir paliekama tol, kol gyvena kūnas.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Dievo dvasios pasišalinimas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Nuo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ko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Dievo dvasia pasišalina, tas iškart išnyksta. Jei Dievas „panorėtų atšaukti savo dvasią ir gyvybės alsavimą, visi gyvūnai tuojau pražūtų ir žmonija sugrįžtų į dulkes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Job 34:14-15).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Kai Dievas atima savo dvasią iš mūsų, mums numirus, miršta ne tik mūsų kūnas, bet išnyksta ir mūsų sąmonė. „Nepasitikėkite didžiūnais... Kai dvasia juos palieka, jie grįžta į dulkes, - tą pačią dieną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žūva visos jų svajonės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.“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(Ps 146:3-4).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Po mirties „dulkės sugrįš į žemę, kaip jos kadaise buvo, o gyvybės alsavimas sugrįš pas Dievą, kursai jį davė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Koh 12:7). Kuomet mes mirštame, mes „iškvepiame paskutinį kartą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ir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tai reiškia, kad Dievo dvasia, esanti mumyse, mus palieka.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Ši dvasia prisijungia prie Dievo dvasios, kuri yra visur; taigi po mirties „dvasia grįžtą pas Dievą“.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Mirtis – sąmonės netekimas, nesąmoningumas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Biblijoje yra aiškiai nurodoma, kad mirę mes netenkame sąmoningumo: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Kai dvasia juos (žmones) palieka, jie grįžta į dulkes, - tą pačią dieną žūva visos jų svajonės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.“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(Ps 146:3-4). 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Mirusieji nebežino nieko... Jų meilė, jų neapykanta, jų pavydas jau seniai pradingo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Koh 9:5,6).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Nebėra „jokio žinojimo, jokios išminties Šeole, į kurį esi pakeliui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Koh 9:10) – jokio mąstymo ir todėl jokios sąmonės.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Mirtis vėl sugrąžina mums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miegą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arba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poilsį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visiems be išimties: ir teisiems, ir klydusiems.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„Daugelis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miegančiųjų žemės dulkėse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atsibus“.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„O tu eik savo keliu iki pabaigos ir ilsėkis! Prisikelsi savo atpildui dienų pabaigoje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Dan 12:2, 13; taip pat Job 3:11, 13, 17).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Nepaneigiamas įrodymas yra mums pateikiamas, kad Biblijoje nėra teiginių, kurie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pagrįstų ,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kad teisingumas mus nuves į palaimos šalį, esančią danguje.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Prisikėlimas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Biblija pabrėžia, kad atlygis už mūsų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dorą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tai mūsų būsimas prisikėlimas Kristui sugrįžus (1 Tes 4:16).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Paulius sako, kad jei nebūtų įmanomas prisikėlimas, tada ir paklusnumas Dievui būtų beprasmis (1 Kor 15:32).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Žinoma, jis to nevertino taip, lyg atlygis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jo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laukia drauge su jo „siela“. Esminis buvo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jo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tikėjimas, kad vienintelė atlygio forma – kūno prisikėlimas.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Kristus drąsino mus žodžiais: „tau bus atlyginta teisiųjų prisikėlime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Lk 14:14). Kuomet sugrįš, Kristus „pakeis mūsų vargingą kūną ir padarys jį panašų į savo garbingąjį kūną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Fil 3:21).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Taip, kaip jis turėjo tikrą fizinį kūną, kuriam energiją teikė daugiau Šventoji Dvasia nei kraujas, toks atlygis laukia ir mūsų.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Mūsų atlygis – gyvenimas, turint nemirtingą kūną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Mes Dievo būsime teisiami pagal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kaip nugyvenome šį gyvenimą (2 Kor 5:10).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Bedieviai atgaus savo dabartinį mirtingą kūną, kuris vėl pavirs dulkėmis.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Taip pat ir tie, kurie bando mintis apie kūną priešpastatyti mintims apie dvasią „iš dvasios pjaus amžinąjį gyvenimą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Gal 6:8), esančią kūniškoje formoje.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Yra pakankamai įrodymų, kad atlygis už teisingumą bus kūniškos formos.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Kuomet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pripažįstama, akivaizdi tampa prisikėlimo svarba. Mūsų dabartinis kūnas nustos egzistavęs po 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mirties; ir jei mums lemta gyventi amžinai, patirti kūno nemirtingumą,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reiškia, kad mūsų laukianti mirtis taps nesąmoningumo būsena iki to laiko, kol mūsų kūnas bus atkurtas ir apdovanotas Dievo prigimtimi (1 Kor 15:35-44). Kristus pakilo iš kapo ir Jo kūnas buvo pakeistas nemirtingu kūnu, todėl šiuo atlygiu bus pasidalinta su tikrais tikinčiaisiais (Fil 3:21).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Per krikštą mes susijungiame su Kristaus mirtimi ir prisikėlimu, tuo pačiu parodydami mūsų tikėjimą, jog ir mes galėsime pasidalyti atlygiu, kurį Jis gavo savo prisikėlimu (Rom 6:3-5).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Pasidalydami su Juo Jo kančia, mes taip pat pasidalysime ir Jo prisikėlimu (2 Kor 4:10; Rom 8:23).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Ši viltis, kad iš tikrųjų bus prikelti mūsų kūnai, gyveno Dievo žmonėse nuo senų laikų (Iz 26:19). Jobas žinojo, kad nors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jo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kūnas ir bus kirmėlių graužiamas, jam bus atlyginta: „mano Atpirkėjas gyvas; galų gale Jis pakils kaip liudytojas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žemėje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Net tada, kai liga bus suėdusi mano odą, dar savo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kūne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regėsiu Dievą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Job 19:25-26).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Atlygio vieta: Dangus ar žemė?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Toliau pateiktos Šventojo Rašto ištraukos liudija, kad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žemė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, o ne dangus bus Dievo Karalystės vieta: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! „Viešpaties maldoje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meldžiama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Dievo Karalystės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atėjimo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todėl Dievo norai išsipildys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žemėje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taip kaip jie jau yra išsipildę danguje (Mt 6:10). 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„Palaiminti romieji: jie paveldės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žemę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Mt 5:5; žr taip pat Ps 37: 11, 22, 29, 34, 35) – ne dėl to, kad jų sielos keliaus į dangų.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Amžinas gyvenimas žemėje paverčia neįmanomu amžiną gyvenimą danguje.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„Dovydas... mirė ir buvo palaidotas... Ne Dovydas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pakilo į dangų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Apd 2:29, 34).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Petras paaiškina, kad Dovydo viltimi tapo prisikėlimas iš mirties Kristui sugrįžus (Apd 2:22-36).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Teisieji pasakys teismo dieną: Kristus „padarė mūsų Dievui karalystę bei kunigus, ir jie viešpataus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žemėje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Apr 5:9, 10)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Danielio pranašystės (2 ir 7 skyriai) nusako būsiant nereikalinga politinės galios sėkmę Dievo Karalystėje Kristui sugrįžus.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Dievo Karalystė apims „visą žemę“.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(Dan 7:27; 2:35).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Pragaras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Biblija nurodo, jog pragaras yra kapas, į kurį žmonės patenka po mirties.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Žydų kalbos žodis „sheol“, verčiamas kaip „pragaras“, reiškia „uždengtą vietą“.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Geras vertimas šiam žodžiui yra „kapas“.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Pateikti „šeolo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pavyzdžiai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iliustruoja pragaro koncepciją kaip ugnies kančių vietą nusidėjeliams: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Tebūna nedorėliai...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nutildyti Šeole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Ps 31:17) – jie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nešauks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apimti agonijos.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„Mano gyvastį Dievas atpirks iš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Šeolo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nagų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Ps 49:15) – t.y. Dovydo siela arba kūnas bus prikelti iš kapo, iš „pragaro“.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Žinant, kad „pragaras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yra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kapas, teisieji bus apsaugoti nuo jo, jų prikėlimo amžinam gyvenimui dėka. Žymiausias yra Jėzaus pavyzdys, kuris „neliko mirusiųjų buveinėje ir jo kūnas nesupuvo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Apd 2:31), nes jis buvo prikeltas. Tai, kad Jėzus buvo patekęs į pragarą įrodo, kad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nėra vieta, į kurią keliauja tik nusidėjėliai. 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Kas nutinka nusidėjusiems?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Dievas neprimetė nuodėmės tiems, kas ignoravo Jo žodį (Rom 5:13).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Tokie žmonės išliks mirę. Tie, kurie žinojo Dievo reikalavimus, bus prikelti ir teisiami Kristui sugrįžus. Nusidėjėliai bus baudžiami mirtimi ir liks mirę amžinai (Apr 2:11; 20:6).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 reiškia, kad bausmė bus paskiriama „amžiams“.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Vienas iš Dievo principų yra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tas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kad atpildas už nuodėmes yra mirtis (Rom 6:23; 8:13; Jok 1:15). Mirtis –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visiškas sąmoningumo praradimas.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Nuodėmės pasėkmė – visiškas išnykimas, bet ne amžina kančia (Mt 21:41; Mk 12:9; Jok 4:12).</w:t>
      </w:r>
      <w:proofErr w:type="gramEnd"/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Sąmoningumo praradimas – tikroji mirties reikšmė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Atsidūrus kape, yra neįmanoma jokia veikla...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Tačiau </w:t>
      </w:r>
      <w:r w:rsidRPr="00C64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dabar</w:t>
      </w:r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yra tinkamas metas nugyventi maksimaliai Dievo tarnystei pašvęstą gyvenimą (Koh 9:10-13).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Mozė meldė Dievą, kad šis parodytų tuščiai laiką švaistantiems izraeliečiams jų mirtingumo prasmę; iškalbingai vaizduodamas mūsų mirtingumo tragediją, jis sakė: „Mokyk tad mus skaičiuoti savo dienas, kad įgytume išmintingą širdį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 (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Ps 90:12).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Greitai prabėgančio laiko tragiškumas reiškia, kad mes turime nustoti tą laiką tuščiai švaistę.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Tas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faktas, kad galime gana greitai numirti ir likti nesąmoningais, priverčia žmones tikėti, tikėti Dievu ir prisikėlimu. Mirtis panaši į miegą ir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tai</w:t>
      </w:r>
      <w:proofErr w:type="gramEnd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reiškia, kad teismo dieną įgysime kitą sąmoningą patirtį po mirties. Kadangi mirtis yra labiau mums tikėtina, svarbus mums yra ir mūsų laukiantis teismas. </w:t>
      </w:r>
      <w:proofErr w:type="gramStart"/>
      <w:r w:rsidRPr="00C64B32">
        <w:rPr>
          <w:rFonts w:ascii="Times New Roman" w:eastAsia="Times New Roman" w:hAnsi="Times New Roman" w:cs="Times New Roman"/>
          <w:sz w:val="24"/>
          <w:szCs w:val="24"/>
          <w:lang w:eastAsia="en-GB"/>
        </w:rPr>
        <w:t>Ir mes turime gyventi su šiuo žinojimu bei šiame žinojime.</w:t>
      </w:r>
      <w:proofErr w:type="gramEnd"/>
    </w:p>
    <w:p w:rsidR="00C64B32" w:rsidRDefault="00C64B32" w:rsidP="00C64B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C64B3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 Heaster</w:t>
      </w:r>
    </w:p>
    <w:p w:rsidR="00C64B32" w:rsidRPr="00C64B32" w:rsidRDefault="00C64B32" w:rsidP="00C64B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5A4582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eastAsia="en-GB"/>
          </w:rPr>
          <w:t>dh@heaster.org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tbl>
      <w:tblPr>
        <w:tblW w:w="25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05"/>
      </w:tblGrid>
      <w:tr w:rsidR="00C64B32" w:rsidRPr="00C64B32" w:rsidTr="00C64B32">
        <w:trPr>
          <w:trHeight w:val="225"/>
          <w:tblCellSpacing w:w="0" w:type="dxa"/>
        </w:trPr>
        <w:tc>
          <w:tcPr>
            <w:tcW w:w="2505" w:type="dxa"/>
            <w:vAlign w:val="center"/>
            <w:hideMark/>
          </w:tcPr>
          <w:p w:rsidR="00C64B32" w:rsidRPr="00C64B32" w:rsidRDefault="00C64B32" w:rsidP="00C64B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C64B32" w:rsidRPr="00C64B32" w:rsidTr="00C64B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64B32" w:rsidRPr="00C64B32" w:rsidRDefault="00C64B32" w:rsidP="00C6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4B32" w:rsidRPr="00C64B32" w:rsidTr="00C64B32">
        <w:trPr>
          <w:trHeight w:val="255"/>
          <w:tblCellSpacing w:w="0" w:type="dxa"/>
        </w:trPr>
        <w:tc>
          <w:tcPr>
            <w:tcW w:w="2505" w:type="dxa"/>
            <w:vAlign w:val="center"/>
            <w:hideMark/>
          </w:tcPr>
          <w:p w:rsidR="00C64B32" w:rsidRPr="00C64B32" w:rsidRDefault="00C64B32" w:rsidP="00C6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64B32" w:rsidRDefault="00C64B32">
      <w:r>
        <w:t xml:space="preserve">Lithuanian: The way to eternal life </w:t>
      </w:r>
    </w:p>
    <w:p w:rsidR="00C074C2" w:rsidRDefault="00C64B32">
      <w:r>
        <w:t>www.Carelinks.net</w:t>
      </w:r>
    </w:p>
    <w:sectPr w:rsidR="00C074C2" w:rsidSect="00DE2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32D7"/>
    <w:multiLevelType w:val="multilevel"/>
    <w:tmpl w:val="5F1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64B32"/>
    <w:rsid w:val="00192931"/>
    <w:rsid w:val="00204722"/>
    <w:rsid w:val="002C0B62"/>
    <w:rsid w:val="008117C6"/>
    <w:rsid w:val="008539F0"/>
    <w:rsid w:val="00925D8B"/>
    <w:rsid w:val="00BC312A"/>
    <w:rsid w:val="00C53086"/>
    <w:rsid w:val="00C64B32"/>
    <w:rsid w:val="00DE2B77"/>
    <w:rsid w:val="00FB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7"/>
  </w:style>
  <w:style w:type="paragraph" w:styleId="Heading2">
    <w:name w:val="heading 2"/>
    <w:basedOn w:val="Normal"/>
    <w:link w:val="Heading2Char"/>
    <w:uiPriority w:val="9"/>
    <w:qFormat/>
    <w:rsid w:val="00C64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4B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6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4B32"/>
    <w:rPr>
      <w:b/>
      <w:bCs/>
    </w:rPr>
  </w:style>
  <w:style w:type="character" w:styleId="Emphasis">
    <w:name w:val="Emphasis"/>
    <w:basedOn w:val="DefaultParagraphFont"/>
    <w:uiPriority w:val="20"/>
    <w:qFormat/>
    <w:rsid w:val="00C64B32"/>
    <w:rPr>
      <w:i/>
      <w:iCs/>
    </w:rPr>
  </w:style>
  <w:style w:type="character" w:styleId="Hyperlink">
    <w:name w:val="Hyperlink"/>
    <w:basedOn w:val="DefaultParagraphFont"/>
    <w:uiPriority w:val="99"/>
    <w:unhideWhenUsed/>
    <w:rsid w:val="00C64B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@heas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1686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2012-03-26T17:44:00Z</dcterms:created>
  <dcterms:modified xsi:type="dcterms:W3CDTF">2012-03-26T17:45:00Z</dcterms:modified>
</cp:coreProperties>
</file>